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7569" w14:textId="77777777" w:rsidR="00BD6C84" w:rsidRPr="0081167F" w:rsidRDefault="00BD6C84" w:rsidP="00BD6C84">
      <w:pPr>
        <w:pStyle w:val="Standard"/>
        <w:jc w:val="both"/>
        <w:rPr>
          <w:rFonts w:cs="Times New Roman"/>
          <w:sz w:val="22"/>
          <w:szCs w:val="22"/>
          <w:lang w:val="sr-Latn-RS"/>
        </w:rPr>
      </w:pP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51B68BCB" wp14:editId="631DBDFD">
            <wp:simplePos x="0" y="0"/>
            <wp:positionH relativeFrom="column">
              <wp:posOffset>0</wp:posOffset>
            </wp:positionH>
            <wp:positionV relativeFrom="paragraph">
              <wp:posOffset>180337</wp:posOffset>
            </wp:positionV>
            <wp:extent cx="980968" cy="695126"/>
            <wp:effectExtent l="0" t="0" r="0" b="0"/>
            <wp:wrapSquare wrapText="bothSides"/>
            <wp:docPr id="1886820190" name="Image1" descr="A red and white coat of arm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968" cy="6951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1E30C3" w14:textId="77777777" w:rsidR="00BD6C84" w:rsidRPr="002A0BEC" w:rsidRDefault="00BD6C84" w:rsidP="00BD6C84">
      <w:pPr>
        <w:pStyle w:val="Standard"/>
        <w:rPr>
          <w:lang w:val="sr-Cyrl-RS"/>
        </w:rPr>
      </w:pPr>
    </w:p>
    <w:p w14:paraId="424166CE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</w:p>
    <w:p w14:paraId="6211CEFE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</w:p>
    <w:p w14:paraId="603EBE2A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</w:p>
    <w:p w14:paraId="62122D91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</w:p>
    <w:p w14:paraId="6E6B0B7C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  <w:r w:rsidRPr="002A0BEC">
        <w:rPr>
          <w:color w:val="000000"/>
          <w:lang w:val="sr-Cyrl-RS"/>
        </w:rPr>
        <w:t>РЕПУБЛИКА СРБИЈА</w:t>
      </w:r>
    </w:p>
    <w:p w14:paraId="1BA47EE6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  <w:r w:rsidRPr="002A0BEC">
        <w:rPr>
          <w:color w:val="000000"/>
          <w:lang w:val="sr-Cyrl-RS"/>
        </w:rPr>
        <w:t>АП ВОЈВОДИНА</w:t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  <w:t xml:space="preserve">     </w:t>
      </w:r>
    </w:p>
    <w:p w14:paraId="10A4F1EF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  <w:r w:rsidRPr="002A0BEC">
        <w:rPr>
          <w:color w:val="000000"/>
          <w:lang w:val="sr-Cyrl-RS"/>
        </w:rPr>
        <w:t>ОПШТИНА ТЕМЕРИН</w:t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</w:p>
    <w:p w14:paraId="22E21007" w14:textId="77777777" w:rsidR="00BD6C84" w:rsidRPr="002A0BEC" w:rsidRDefault="00BD6C84" w:rsidP="00BD6C84">
      <w:pPr>
        <w:pStyle w:val="Standard"/>
        <w:rPr>
          <w:color w:val="000000"/>
          <w:lang w:val="sr-Cyrl-RS"/>
        </w:rPr>
      </w:pPr>
      <w:r w:rsidRPr="002A0BEC">
        <w:rPr>
          <w:color w:val="000000"/>
          <w:lang w:val="sr-Cyrl-RS"/>
        </w:rPr>
        <w:t>ОПШТИНСКО ВЕЋЕ</w:t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</w:r>
      <w:r w:rsidRPr="002A0BEC">
        <w:rPr>
          <w:color w:val="000000"/>
          <w:lang w:val="sr-Cyrl-RS"/>
        </w:rPr>
        <w:tab/>
        <w:t xml:space="preserve">         </w:t>
      </w:r>
    </w:p>
    <w:p w14:paraId="558DAAD8" w14:textId="77777777" w:rsidR="00BD6C84" w:rsidRPr="0081167F" w:rsidRDefault="00BD6C84" w:rsidP="00BD6C84">
      <w:pPr>
        <w:pStyle w:val="Standard"/>
        <w:rPr>
          <w:color w:val="000000"/>
          <w:lang w:val="sr-Cyrl-RS"/>
        </w:rPr>
      </w:pPr>
      <w:r w:rsidRPr="002A0BEC">
        <w:rPr>
          <w:color w:val="000000"/>
          <w:lang w:val="sr-Cyrl-RS"/>
        </w:rPr>
        <w:t>Број</w:t>
      </w:r>
      <w:r>
        <w:rPr>
          <w:color w:val="000000"/>
          <w:lang w:val="sr-Cyrl-RS"/>
        </w:rPr>
        <w:t>:06-1/2025-138-10-01</w:t>
      </w:r>
    </w:p>
    <w:p w14:paraId="36DFF331" w14:textId="77777777" w:rsidR="00BD6C84" w:rsidRPr="002A0BEC" w:rsidRDefault="00BD6C84" w:rsidP="00BD6C84">
      <w:pPr>
        <w:pStyle w:val="Standard"/>
        <w:rPr>
          <w:lang w:val="sr-Cyrl-RS"/>
        </w:rPr>
      </w:pPr>
      <w:r w:rsidRPr="002A0BEC">
        <w:rPr>
          <w:color w:val="000000"/>
          <w:lang w:val="sr-Cyrl-RS"/>
        </w:rPr>
        <w:t>Дана</w:t>
      </w:r>
      <w:r>
        <w:rPr>
          <w:color w:val="000000"/>
          <w:lang w:val="sr-Cyrl-RS"/>
        </w:rPr>
        <w:t>:2</w:t>
      </w:r>
      <w:r>
        <w:rPr>
          <w:color w:val="000000"/>
          <w:lang w:val="sr-Latn-RS"/>
        </w:rPr>
        <w:t>0</w:t>
      </w:r>
      <w:r w:rsidRPr="002A0BEC">
        <w:rPr>
          <w:color w:val="000000"/>
          <w:lang w:val="sr-Cyrl-RS"/>
        </w:rPr>
        <w:t>.11.2025. године</w:t>
      </w:r>
    </w:p>
    <w:p w14:paraId="488166A8" w14:textId="77777777" w:rsidR="00BD6C84" w:rsidRPr="002A0BEC" w:rsidRDefault="00BD6C84" w:rsidP="00BD6C84">
      <w:pPr>
        <w:pStyle w:val="Standard"/>
        <w:ind w:right="-6"/>
        <w:jc w:val="both"/>
        <w:rPr>
          <w:lang w:val="sr-Cyrl-RS"/>
        </w:rPr>
      </w:pPr>
      <w:r w:rsidRPr="002A0BEC">
        <w:rPr>
          <w:color w:val="000000"/>
          <w:lang w:val="sr-Cyrl-RS"/>
        </w:rPr>
        <w:t>Т Е М Е Р И Н</w:t>
      </w:r>
    </w:p>
    <w:p w14:paraId="274C1C4A" w14:textId="77777777" w:rsidR="00BD6C84" w:rsidRPr="002A0BEC" w:rsidRDefault="00BD6C84" w:rsidP="00BD6C84">
      <w:pPr>
        <w:pStyle w:val="Standard"/>
        <w:jc w:val="both"/>
        <w:rPr>
          <w:lang w:val="sr-Cyrl-RS"/>
        </w:rPr>
      </w:pPr>
    </w:p>
    <w:p w14:paraId="2DE613E2" w14:textId="77777777" w:rsidR="00BD6C84" w:rsidRPr="008E1F07" w:rsidRDefault="00BD6C84" w:rsidP="00BD6C84">
      <w:pPr>
        <w:pStyle w:val="Standard"/>
        <w:spacing w:after="120"/>
        <w:rPr>
          <w:rFonts w:cs="Times New Roman"/>
          <w:lang w:val="sr-Cyrl-RS"/>
        </w:rPr>
      </w:pPr>
    </w:p>
    <w:p w14:paraId="6E958623" w14:textId="77777777" w:rsidR="00BD6C84" w:rsidRPr="008E1F07" w:rsidRDefault="00BD6C84" w:rsidP="00BD6C84">
      <w:pPr>
        <w:pStyle w:val="Standard"/>
        <w:ind w:firstLine="720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 xml:space="preserve">На основу члана 46. Закона о локалној самоуправи („Службени гласник РС“, бр. 129/07, 83/14-др.закон, 101/16, 47/18 и 111/21-др.закон), и Уредбе о мерама за сузбијање и уништавање коровске биљке амброзија- </w:t>
      </w:r>
      <w:r w:rsidRPr="008E1F07">
        <w:rPr>
          <w:rFonts w:cs="Times New Roman"/>
          <w:i/>
          <w:iCs/>
          <w:lang w:val="sr-Latn-RS"/>
        </w:rPr>
        <w:t xml:space="preserve">Ambrosia artemisifolia </w:t>
      </w:r>
      <w:r w:rsidRPr="004B2354">
        <w:rPr>
          <w:rFonts w:cs="Times New Roman"/>
          <w:i/>
          <w:iCs/>
          <w:lang w:val="sr-Cyrl-RS"/>
        </w:rPr>
        <w:t xml:space="preserve">Л.(СПП) </w:t>
      </w:r>
      <w:r w:rsidRPr="004B2354">
        <w:rPr>
          <w:rFonts w:cs="Times New Roman"/>
          <w:lang w:val="sr-Cyrl-RS"/>
        </w:rPr>
        <w:t>(„Службени гласник РС“, бр.69/2006)</w:t>
      </w:r>
      <w:r>
        <w:rPr>
          <w:rFonts w:cs="Times New Roman"/>
          <w:lang w:val="sr-Cyrl-RS"/>
        </w:rPr>
        <w:t>,</w:t>
      </w:r>
    </w:p>
    <w:p w14:paraId="7947E007" w14:textId="77777777" w:rsidR="00BD6C84" w:rsidRPr="008E1F07" w:rsidRDefault="00BD6C84" w:rsidP="00BD6C84">
      <w:pPr>
        <w:pStyle w:val="Standard"/>
        <w:rPr>
          <w:rFonts w:cs="Times New Roman"/>
          <w:lang w:val="sr-Cyrl-RS"/>
        </w:rPr>
      </w:pPr>
    </w:p>
    <w:p w14:paraId="556A5B5C" w14:textId="77777777" w:rsidR="00BD6C84" w:rsidRPr="004B2354" w:rsidRDefault="00BD6C84" w:rsidP="00BD6C84">
      <w:pPr>
        <w:pStyle w:val="Standard"/>
        <w:ind w:firstLine="720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Општинско веће општине Темерин, на</w:t>
      </w:r>
      <w:r>
        <w:rPr>
          <w:rFonts w:cs="Times New Roman"/>
          <w:lang w:val="sr-Cyrl-RS"/>
        </w:rPr>
        <w:t xml:space="preserve"> 45.</w:t>
      </w:r>
      <w:r w:rsidRPr="004B2354">
        <w:rPr>
          <w:rFonts w:cs="Times New Roman"/>
          <w:lang w:val="sr-Cyrl-RS"/>
        </w:rPr>
        <w:t xml:space="preserve"> седници одржаној </w:t>
      </w:r>
      <w:r>
        <w:rPr>
          <w:rFonts w:cs="Times New Roman"/>
          <w:lang w:val="sr-Cyrl-RS"/>
        </w:rPr>
        <w:t>20.11.2025.</w:t>
      </w:r>
      <w:r w:rsidRPr="004B2354">
        <w:rPr>
          <w:rFonts w:cs="Times New Roman"/>
          <w:lang w:val="sr-Cyrl-RS"/>
        </w:rPr>
        <w:t xml:space="preserve">                                  године, доноси</w:t>
      </w:r>
    </w:p>
    <w:p w14:paraId="6C3FCB22" w14:textId="77777777" w:rsidR="00BD6C84" w:rsidRPr="004B2354" w:rsidRDefault="00BD6C84" w:rsidP="00BD6C84">
      <w:pPr>
        <w:pStyle w:val="Standard"/>
        <w:rPr>
          <w:rFonts w:cs="Times New Roman"/>
          <w:lang w:val="sr-Cyrl-RS"/>
        </w:rPr>
      </w:pPr>
    </w:p>
    <w:p w14:paraId="6660DB13" w14:textId="77777777" w:rsidR="00BD6C84" w:rsidRPr="004B2354" w:rsidRDefault="00BD6C84" w:rsidP="00BD6C84">
      <w:pPr>
        <w:pStyle w:val="Standard"/>
        <w:rPr>
          <w:rFonts w:cs="Times New Roman"/>
          <w:lang w:val="sr-Cyrl-RS"/>
        </w:rPr>
      </w:pPr>
    </w:p>
    <w:p w14:paraId="2CC14E55" w14:textId="77777777" w:rsidR="00BD6C84" w:rsidRPr="004B2354" w:rsidRDefault="00BD6C84" w:rsidP="00BD6C84">
      <w:pPr>
        <w:pStyle w:val="Standard"/>
        <w:jc w:val="center"/>
        <w:rPr>
          <w:rFonts w:cs="Times New Roman"/>
          <w:b/>
          <w:bCs/>
          <w:lang w:val="sr-Cyrl-RS"/>
        </w:rPr>
      </w:pPr>
      <w:r w:rsidRPr="004B2354">
        <w:rPr>
          <w:rFonts w:cs="Times New Roman"/>
          <w:b/>
          <w:bCs/>
          <w:lang w:val="sr-Cyrl-RS"/>
        </w:rPr>
        <w:t>П Р О Г Р А М</w:t>
      </w:r>
    </w:p>
    <w:p w14:paraId="0EE6D1F9" w14:textId="77777777" w:rsidR="00BD6C84" w:rsidRPr="004B2354" w:rsidRDefault="00BD6C84" w:rsidP="00BD6C84">
      <w:pPr>
        <w:pStyle w:val="Standard"/>
        <w:jc w:val="center"/>
        <w:rPr>
          <w:rFonts w:cs="Times New Roman"/>
          <w:lang w:val="sr-Cyrl-RS"/>
        </w:rPr>
      </w:pPr>
    </w:p>
    <w:p w14:paraId="4811EEAF" w14:textId="77777777" w:rsidR="00BD6C84" w:rsidRPr="004B2354" w:rsidRDefault="00BD6C84" w:rsidP="00BD6C84">
      <w:pPr>
        <w:pStyle w:val="Standard"/>
        <w:jc w:val="center"/>
        <w:rPr>
          <w:rFonts w:cs="Times New Roman"/>
          <w:b/>
          <w:bCs/>
          <w:lang w:val="sr-Cyrl-RS"/>
        </w:rPr>
      </w:pPr>
      <w:r w:rsidRPr="004B2354">
        <w:rPr>
          <w:rFonts w:cs="Times New Roman"/>
          <w:b/>
          <w:bCs/>
          <w:lang w:val="sr-Cyrl-RS"/>
        </w:rPr>
        <w:t>спровођење мера за сузбијање и уништавање коровске биљке Амброзије на територији општине Темерин за 2026.годину</w:t>
      </w:r>
    </w:p>
    <w:p w14:paraId="72FE9660" w14:textId="77777777" w:rsidR="00BD6C84" w:rsidRPr="004B2354" w:rsidRDefault="00BD6C84" w:rsidP="00BD6C84">
      <w:pPr>
        <w:pStyle w:val="Standard"/>
        <w:jc w:val="center"/>
        <w:rPr>
          <w:rFonts w:cs="Times New Roman"/>
          <w:b/>
          <w:bCs/>
          <w:lang w:val="sr-Cyrl-RS"/>
        </w:rPr>
      </w:pPr>
    </w:p>
    <w:p w14:paraId="2BDBC2CF" w14:textId="77777777" w:rsidR="00BD6C84" w:rsidRPr="004B2354" w:rsidRDefault="00BD6C84" w:rsidP="00BD6C84">
      <w:pPr>
        <w:pStyle w:val="Standard"/>
        <w:jc w:val="center"/>
        <w:rPr>
          <w:rFonts w:cs="Times New Roman"/>
          <w:lang w:val="sr-Cyrl-RS"/>
        </w:rPr>
      </w:pPr>
    </w:p>
    <w:p w14:paraId="28CD4243" w14:textId="77777777" w:rsidR="00BD6C84" w:rsidRPr="004B2354" w:rsidRDefault="00BD6C84" w:rsidP="00BD6C84">
      <w:pPr>
        <w:pStyle w:val="Standard"/>
        <w:rPr>
          <w:rFonts w:cs="Times New Roman"/>
          <w:b/>
          <w:bCs/>
          <w:lang w:val="sr-Cyrl-RS"/>
        </w:rPr>
      </w:pPr>
      <w:r w:rsidRPr="008E1F07">
        <w:rPr>
          <w:rFonts w:cs="Times New Roman"/>
          <w:b/>
          <w:bCs/>
          <w:lang w:val="sr-Latn-RS"/>
        </w:rPr>
        <w:t xml:space="preserve">I. </w:t>
      </w:r>
      <w:r w:rsidRPr="004B2354">
        <w:rPr>
          <w:rFonts w:cs="Times New Roman"/>
          <w:b/>
          <w:bCs/>
          <w:lang w:val="sr-Cyrl-RS"/>
        </w:rPr>
        <w:t>Значај и циљ спровођења мера за сузбијање и уништавање коровске биљке Амброзија</w:t>
      </w:r>
    </w:p>
    <w:p w14:paraId="6573CD9E" w14:textId="77777777" w:rsidR="00BD6C84" w:rsidRPr="004B2354" w:rsidRDefault="00BD6C84" w:rsidP="00BD6C84">
      <w:pPr>
        <w:pStyle w:val="Standard"/>
        <w:rPr>
          <w:rFonts w:cs="Times New Roman"/>
          <w:b/>
          <w:bCs/>
          <w:lang w:val="sr-Cyrl-RS"/>
        </w:rPr>
      </w:pPr>
    </w:p>
    <w:p w14:paraId="26A418F7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 xml:space="preserve">Амброзија, лат. </w:t>
      </w:r>
      <w:r w:rsidRPr="008E1F07">
        <w:rPr>
          <w:rFonts w:cs="Times New Roman"/>
          <w:i/>
          <w:iCs/>
          <w:lang w:val="sr-Latn-RS"/>
        </w:rPr>
        <w:t>Ambrosia artemisifolia</w:t>
      </w:r>
      <w:r w:rsidRPr="008E1F07">
        <w:rPr>
          <w:rFonts w:cs="Times New Roman"/>
          <w:lang w:val="sr-Latn-RS"/>
        </w:rPr>
        <w:t xml:space="preserve">, </w:t>
      </w:r>
      <w:r w:rsidRPr="004B2354">
        <w:rPr>
          <w:rFonts w:cs="Times New Roman"/>
          <w:lang w:val="sr-Cyrl-RS"/>
        </w:rPr>
        <w:t>је једногодишња биљка висине до 1,5м. Ниче половином априла, а цвета од почетка јула до раних мразева. Амброзија је интензивни коров, веома чест на ораницама, поред путева, у насељима, рудералним стаништима и травњацима. Касно пролећна врста, оптимална температура за њено клијање и ницање је 20-22</w:t>
      </w:r>
      <w:r w:rsidRPr="004B2354">
        <w:rPr>
          <w:rFonts w:cs="Times New Roman"/>
          <w:vertAlign w:val="superscript"/>
          <w:lang w:val="sr-Cyrl-RS"/>
        </w:rPr>
        <w:t>0</w:t>
      </w:r>
      <w:r w:rsidRPr="004B2354">
        <w:rPr>
          <w:rFonts w:cs="Times New Roman"/>
          <w:lang w:val="sr-Cyrl-RS"/>
        </w:rPr>
        <w:t>С. Цвета и плод доноси од јула до септембра. Једна биљка може да отпусти више од једне милијарде поленових зрна. Једна биљка произведе 500-3.000 ахенија – једносемених плодова. Семе одржава виталност у земљишту и до 40 година.</w:t>
      </w:r>
    </w:p>
    <w:p w14:paraId="005E8B29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Полен амброзије изазива кијање (више од 10 пута узастопно), свраб у носу и грлу, водени исцедак из носа, пецкање и сузање очију, коњуктивитис, отежано дисање и упалу дисајних путева. Полен амброзије је јак инхалаторни алерген. Сваки пети човек оболева од поленске кијавице, бронхијалне асме, дерматитиса која је у 50% случајева изазвана поленом амброзије. Полен се лако преноси на више од 100км и у ваздуху је присутан више од 100 дана а 30-40 дана концентрација полена је критична.</w:t>
      </w:r>
    </w:p>
    <w:p w14:paraId="460D45B0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lastRenderedPageBreak/>
        <w:t>Јавја се као коров на голом незараслом земљишту, запуштеним баштама, међама, крај путева, пруга и насипа. Брзо расте и спречава развој других биљака.</w:t>
      </w:r>
    </w:p>
    <w:p w14:paraId="063747B6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Постоје разни начини којима се може борити против амброзије. Чупањем из корена, косидбом или хербицидима уништавамо амброзију пре цветања и полинације.</w:t>
      </w:r>
    </w:p>
    <w:p w14:paraId="11C6B9A8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На територији општине Темерин се врши систематско сузбијање и уништавање коровске биљке механиким и хемијским путем.</w:t>
      </w:r>
    </w:p>
    <w:p w14:paraId="0FCD1FC7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4B48BC2E" w14:textId="77777777" w:rsidR="00BD6C84" w:rsidRPr="004B2354" w:rsidRDefault="00BD6C84" w:rsidP="00BD6C84">
      <w:pPr>
        <w:pStyle w:val="Standard"/>
        <w:jc w:val="both"/>
        <w:rPr>
          <w:rFonts w:cs="Times New Roman"/>
          <w:b/>
          <w:bCs/>
          <w:lang w:val="sr-Cyrl-RS"/>
        </w:rPr>
      </w:pPr>
      <w:r w:rsidRPr="008E1F07">
        <w:rPr>
          <w:rFonts w:cs="Times New Roman"/>
          <w:b/>
          <w:bCs/>
          <w:lang w:val="sr-Latn-RS"/>
        </w:rPr>
        <w:t xml:space="preserve">II. </w:t>
      </w:r>
      <w:r w:rsidRPr="004B2354">
        <w:rPr>
          <w:rFonts w:cs="Times New Roman"/>
          <w:b/>
          <w:bCs/>
          <w:lang w:val="sr-Cyrl-RS"/>
        </w:rPr>
        <w:t>Начин и обим спровођења програма</w:t>
      </w:r>
    </w:p>
    <w:p w14:paraId="406814F7" w14:textId="77777777" w:rsidR="00BD6C84" w:rsidRPr="004B2354" w:rsidRDefault="00BD6C84" w:rsidP="00BD6C84">
      <w:pPr>
        <w:pStyle w:val="Standard"/>
        <w:jc w:val="both"/>
        <w:rPr>
          <w:rFonts w:cs="Times New Roman"/>
          <w:b/>
          <w:bCs/>
          <w:lang w:val="sr-Cyrl-RS"/>
        </w:rPr>
      </w:pPr>
    </w:p>
    <w:p w14:paraId="73F922EA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Сузбијање и уништавање амброзије на територији општине Темерин се врши у току вегетационог периода, до почетка фенолошке фазе цветања на јавним зеленим површинама применом механичких мера (кошењем) и хемијских мера (селективним хербицидом).</w:t>
      </w:r>
    </w:p>
    <w:p w14:paraId="37BD6D62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Третмани се спроводе на територији насељених места Темерин, Бачки Јарак и Сириг.</w:t>
      </w:r>
    </w:p>
    <w:p w14:paraId="791A2489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Мере за сузбијање и уништавање амброзије се спроводе на основу теренског истраживања и откривања појаве и бројности јединки популације, процене потенцијалне угрожености територије општине и искуства из предходних година, као и коришћењем ГПС уређаја ради мапирања терена и уцртавања локација у ГИС софтвер.</w:t>
      </w:r>
    </w:p>
    <w:p w14:paraId="7AF89719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2DC999B0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2A19B54D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374D25F0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Површина предвиђена за кошење и хемијско уништавање амброзије током 2026. годину, за коју је буџет оптине Темерин предвидио средства су:</w:t>
      </w:r>
    </w:p>
    <w:p w14:paraId="25B52F4C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eastAsia="Times New Roman" w:cs="Times New Roman"/>
          <w:lang w:val="sr-Cyrl-RS" w:bidi="ar-SA"/>
        </w:rPr>
        <w:t>1. Хемијски третман амброзије од 15000м</w:t>
      </w:r>
      <w:r w:rsidRPr="004B2354">
        <w:rPr>
          <w:rFonts w:eastAsia="Times New Roman" w:cs="Times New Roman"/>
          <w:vertAlign w:val="superscript"/>
          <w:lang w:val="sr-Cyrl-RS" w:bidi="ar-SA"/>
        </w:rPr>
        <w:t>2</w:t>
      </w:r>
    </w:p>
    <w:p w14:paraId="32E4388C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eastAsia="Times New Roman" w:cs="Times New Roman"/>
          <w:lang w:val="sr-Cyrl-RS" w:bidi="ar-SA"/>
        </w:rPr>
        <w:t>2. Механички третман амброзије од 100000м</w:t>
      </w:r>
      <w:r w:rsidRPr="004B2354">
        <w:rPr>
          <w:rFonts w:eastAsia="Times New Roman" w:cs="Times New Roman"/>
          <w:vertAlign w:val="superscript"/>
          <w:lang w:val="sr-Cyrl-RS" w:bidi="ar-SA"/>
        </w:rPr>
        <w:t>2</w:t>
      </w:r>
    </w:p>
    <w:p w14:paraId="785A26B3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358BAB0C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  <w:r w:rsidRPr="004B2354">
        <w:rPr>
          <w:rFonts w:eastAsia="Times New Roman" w:cs="Times New Roman"/>
          <w:lang w:val="sr-Cyrl-RS" w:bidi="ar-SA"/>
        </w:rPr>
        <w:t>Динапика планираних радова:</w:t>
      </w:r>
    </w:p>
    <w:p w14:paraId="4A2DB550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5691A29D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  <w:r w:rsidRPr="004B2354">
        <w:rPr>
          <w:rFonts w:eastAsia="Times New Roman" w:cs="Times New Roman"/>
          <w:lang w:val="sr-Cyrl-RS" w:bidi="ar-SA"/>
        </w:rPr>
        <w:t>Током месеца јуна и почетак јула:</w:t>
      </w:r>
    </w:p>
    <w:p w14:paraId="2C185819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  <w:r w:rsidRPr="004B2354">
        <w:rPr>
          <w:rFonts w:eastAsia="Times New Roman" w:cs="Times New Roman"/>
          <w:lang w:val="sr-Cyrl-RS" w:bidi="ar-SA"/>
        </w:rPr>
        <w:t>Хемијски третман амброзије са тоталним или селективним хербицидом.</w:t>
      </w:r>
    </w:p>
    <w:p w14:paraId="3CF8829C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24B7781C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  <w:r w:rsidRPr="004B2354">
        <w:rPr>
          <w:rFonts w:eastAsia="Times New Roman" w:cs="Times New Roman"/>
          <w:lang w:val="sr-Cyrl-RS" w:bidi="ar-SA"/>
        </w:rPr>
        <w:t>Крајем месеца јула и почетком августа:</w:t>
      </w:r>
    </w:p>
    <w:p w14:paraId="2D87910E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  <w:r w:rsidRPr="004B2354">
        <w:rPr>
          <w:rFonts w:eastAsia="Times New Roman" w:cs="Times New Roman"/>
          <w:lang w:val="sr-Cyrl-RS" w:bidi="ar-SA"/>
        </w:rPr>
        <w:t>Механичко сузбијање амброзије, кошењем.</w:t>
      </w:r>
    </w:p>
    <w:p w14:paraId="44D4997B" w14:textId="77777777" w:rsidR="00BD6C84" w:rsidRPr="004B2354" w:rsidRDefault="00BD6C84" w:rsidP="00BD6C84">
      <w:pPr>
        <w:pStyle w:val="Standard"/>
        <w:jc w:val="both"/>
        <w:rPr>
          <w:rFonts w:eastAsia="Times New Roman" w:cs="Times New Roman"/>
          <w:lang w:val="sr-Cyrl-RS" w:bidi="ar-SA"/>
        </w:rPr>
      </w:pPr>
    </w:p>
    <w:p w14:paraId="2B10E3E5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 xml:space="preserve">После обиласка терена и препоруке одређују се тачна места за третман сузбијања амброзије.  </w:t>
      </w:r>
    </w:p>
    <w:p w14:paraId="4203845C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  <w:r w:rsidRPr="004B2354">
        <w:rPr>
          <w:rFonts w:cs="Times New Roman"/>
          <w:lang w:val="sr-Cyrl-RS"/>
        </w:rPr>
        <w:t>Потенциалне локације за механичко кошење је дефинисан у Табелу број 1.</w:t>
      </w:r>
    </w:p>
    <w:p w14:paraId="1BF991CB" w14:textId="77777777" w:rsidR="00BD6C84" w:rsidRPr="004B2354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505AE074" w14:textId="77777777" w:rsidR="00BD6C84" w:rsidRPr="004B2354" w:rsidRDefault="00BD6C84" w:rsidP="00BD6C84">
      <w:pPr>
        <w:pStyle w:val="Standard"/>
        <w:jc w:val="center"/>
        <w:rPr>
          <w:rFonts w:cs="Times New Roman"/>
          <w:lang w:val="sr-Cyrl-RS"/>
        </w:rPr>
      </w:pPr>
    </w:p>
    <w:tbl>
      <w:tblPr>
        <w:tblW w:w="9725" w:type="dxa"/>
        <w:tblInd w:w="-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3237"/>
        <w:gridCol w:w="3250"/>
      </w:tblGrid>
      <w:tr w:rsidR="00BD6C84" w:rsidRPr="008E1F07" w14:paraId="12FD7284" w14:textId="77777777" w:rsidTr="00010B8E">
        <w:tc>
          <w:tcPr>
            <w:tcW w:w="3238" w:type="dxa"/>
          </w:tcPr>
          <w:p w14:paraId="4961957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b/>
                <w:bCs/>
                <w:color w:val="000000"/>
              </w:rPr>
              <w:t>Место</w:t>
            </w:r>
            <w:proofErr w:type="spellEnd"/>
          </w:p>
        </w:tc>
        <w:tc>
          <w:tcPr>
            <w:tcW w:w="3237" w:type="dxa"/>
          </w:tcPr>
          <w:p w14:paraId="3FAFA91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b/>
                <w:bCs/>
                <w:color w:val="000000"/>
              </w:rPr>
              <w:t>Локација</w:t>
            </w:r>
            <w:proofErr w:type="spellEnd"/>
          </w:p>
          <w:p w14:paraId="50F7577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50" w:type="dxa"/>
          </w:tcPr>
          <w:p w14:paraId="3BE31DD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b/>
                <w:bCs/>
                <w:color w:val="000000"/>
              </w:rPr>
              <w:t>Начин</w:t>
            </w:r>
            <w:proofErr w:type="spellEnd"/>
            <w:r w:rsidRPr="008E1F07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b/>
                <w:bCs/>
                <w:color w:val="000000"/>
              </w:rPr>
              <w:t>третирања</w:t>
            </w:r>
            <w:proofErr w:type="spellEnd"/>
          </w:p>
        </w:tc>
      </w:tr>
      <w:tr w:rsidR="00BD6C84" w:rsidRPr="008E1F07" w14:paraId="47BA8CDE" w14:textId="77777777" w:rsidTr="00010B8E">
        <w:tc>
          <w:tcPr>
            <w:tcW w:w="3238" w:type="dxa"/>
          </w:tcPr>
          <w:p w14:paraId="201EF38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5E70E651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силоса</w:t>
            </w:r>
            <w:proofErr w:type="spellEnd"/>
          </w:p>
        </w:tc>
        <w:tc>
          <w:tcPr>
            <w:tcW w:w="3250" w:type="dxa"/>
          </w:tcPr>
          <w:p w14:paraId="2C40A9B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9C8EEF8" w14:textId="77777777" w:rsidTr="00010B8E">
        <w:tc>
          <w:tcPr>
            <w:tcW w:w="3238" w:type="dxa"/>
          </w:tcPr>
          <w:p w14:paraId="5ABB08DF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5450464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у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Алмашкој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улици</w:t>
            </w:r>
            <w:proofErr w:type="spellEnd"/>
          </w:p>
        </w:tc>
        <w:tc>
          <w:tcPr>
            <w:tcW w:w="3250" w:type="dxa"/>
          </w:tcPr>
          <w:p w14:paraId="26A3ED07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C1B67EF" w14:textId="77777777" w:rsidTr="00010B8E">
        <w:tc>
          <w:tcPr>
            <w:tcW w:w="3238" w:type="dxa"/>
          </w:tcPr>
          <w:p w14:paraId="2C84A09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7711D4D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у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улици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Косте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Нађа</w:t>
            </w:r>
            <w:proofErr w:type="spellEnd"/>
          </w:p>
        </w:tc>
        <w:tc>
          <w:tcPr>
            <w:tcW w:w="3250" w:type="dxa"/>
          </w:tcPr>
          <w:p w14:paraId="021F0BFC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2195508D" w14:textId="77777777" w:rsidTr="00010B8E">
        <w:tc>
          <w:tcPr>
            <w:tcW w:w="3238" w:type="dxa"/>
          </w:tcPr>
          <w:p w14:paraId="426F2E2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3E4AF93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канала</w:t>
            </w:r>
            <w:proofErr w:type="spellEnd"/>
          </w:p>
        </w:tc>
        <w:tc>
          <w:tcPr>
            <w:tcW w:w="3250" w:type="dxa"/>
          </w:tcPr>
          <w:p w14:paraId="5D47ABC3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19BC5BA7" w14:textId="77777777" w:rsidTr="00010B8E">
        <w:tc>
          <w:tcPr>
            <w:tcW w:w="3238" w:type="dxa"/>
          </w:tcPr>
          <w:p w14:paraId="783FFC9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49CA6F72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поред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канала</w:t>
            </w:r>
            <w:proofErr w:type="spellEnd"/>
          </w:p>
        </w:tc>
        <w:tc>
          <w:tcPr>
            <w:tcW w:w="3250" w:type="dxa"/>
          </w:tcPr>
          <w:p w14:paraId="7622379C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442FEA77" w14:textId="77777777" w:rsidTr="00010B8E">
        <w:tc>
          <w:tcPr>
            <w:tcW w:w="3238" w:type="dxa"/>
          </w:tcPr>
          <w:p w14:paraId="6A14D26F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3BD9D214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угао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ЈНА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i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П.Пала</w:t>
            </w:r>
            <w:proofErr w:type="spellEnd"/>
          </w:p>
        </w:tc>
        <w:tc>
          <w:tcPr>
            <w:tcW w:w="3250" w:type="dxa"/>
          </w:tcPr>
          <w:p w14:paraId="2E5D165E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2D49AA5" w14:textId="77777777" w:rsidTr="00010B8E">
        <w:tc>
          <w:tcPr>
            <w:tcW w:w="3238" w:type="dxa"/>
          </w:tcPr>
          <w:p w14:paraId="7D42BAA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03FFC0A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водоводу</w:t>
            </w:r>
            <w:proofErr w:type="spellEnd"/>
          </w:p>
        </w:tc>
        <w:tc>
          <w:tcPr>
            <w:tcW w:w="3250" w:type="dxa"/>
          </w:tcPr>
          <w:p w14:paraId="058ED02A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38B03DEE" w14:textId="77777777" w:rsidTr="00010B8E">
        <w:tc>
          <w:tcPr>
            <w:tcW w:w="3238" w:type="dxa"/>
          </w:tcPr>
          <w:p w14:paraId="413D9F6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lastRenderedPageBreak/>
              <w:t>Темерин</w:t>
            </w:r>
            <w:proofErr w:type="spellEnd"/>
          </w:p>
        </w:tc>
        <w:tc>
          <w:tcPr>
            <w:tcW w:w="3237" w:type="dxa"/>
          </w:tcPr>
          <w:p w14:paraId="74192F1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ОК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транса</w:t>
            </w:r>
            <w:proofErr w:type="spellEnd"/>
          </w:p>
        </w:tc>
        <w:tc>
          <w:tcPr>
            <w:tcW w:w="3250" w:type="dxa"/>
          </w:tcPr>
          <w:p w14:paraId="0530B584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69D6B9E1" w14:textId="77777777" w:rsidTr="00010B8E">
        <w:tc>
          <w:tcPr>
            <w:tcW w:w="3238" w:type="dxa"/>
          </w:tcPr>
          <w:p w14:paraId="5C44970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4E637B0E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уз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према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Тимкопу</w:t>
            </w:r>
            <w:proofErr w:type="spellEnd"/>
          </w:p>
        </w:tc>
        <w:tc>
          <w:tcPr>
            <w:tcW w:w="3250" w:type="dxa"/>
          </w:tcPr>
          <w:p w14:paraId="59749DC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0360696F" w14:textId="77777777" w:rsidTr="00010B8E">
        <w:tc>
          <w:tcPr>
            <w:tcW w:w="3238" w:type="dxa"/>
          </w:tcPr>
          <w:p w14:paraId="6DA5E8F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10E7521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уз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пругу</w:t>
            </w:r>
            <w:proofErr w:type="spellEnd"/>
          </w:p>
        </w:tc>
        <w:tc>
          <w:tcPr>
            <w:tcW w:w="3250" w:type="dxa"/>
          </w:tcPr>
          <w:p w14:paraId="154496F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C52723B" w14:textId="77777777" w:rsidTr="00010B8E">
        <w:tc>
          <w:tcPr>
            <w:tcW w:w="3238" w:type="dxa"/>
          </w:tcPr>
          <w:p w14:paraId="24B989CA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Темерин</w:t>
            </w:r>
            <w:proofErr w:type="spellEnd"/>
          </w:p>
        </w:tc>
        <w:tc>
          <w:tcPr>
            <w:tcW w:w="3237" w:type="dxa"/>
          </w:tcPr>
          <w:p w14:paraId="7CE7C247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Новосадска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270</w:t>
            </w:r>
          </w:p>
        </w:tc>
        <w:tc>
          <w:tcPr>
            <w:tcW w:w="3250" w:type="dxa"/>
          </w:tcPr>
          <w:p w14:paraId="62150AF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006C7337" w14:textId="77777777" w:rsidTr="00010B8E">
        <w:tc>
          <w:tcPr>
            <w:tcW w:w="3238" w:type="dxa"/>
          </w:tcPr>
          <w:p w14:paraId="61F52CB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15C1DFF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Бањалучка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улица</w:t>
            </w:r>
            <w:proofErr w:type="spellEnd"/>
          </w:p>
        </w:tc>
        <w:tc>
          <w:tcPr>
            <w:tcW w:w="3250" w:type="dxa"/>
          </w:tcPr>
          <w:p w14:paraId="49BA055C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32723372" w14:textId="77777777" w:rsidTr="00010B8E">
        <w:tc>
          <w:tcPr>
            <w:tcW w:w="3238" w:type="dxa"/>
          </w:tcPr>
          <w:p w14:paraId="5B8CC1D2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41F48203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пруга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иза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грађаре</w:t>
            </w:r>
            <w:proofErr w:type="spellEnd"/>
          </w:p>
        </w:tc>
        <w:tc>
          <w:tcPr>
            <w:tcW w:w="3250" w:type="dxa"/>
          </w:tcPr>
          <w:p w14:paraId="5C2C818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2CACD614" w14:textId="77777777" w:rsidTr="00010B8E">
        <w:tc>
          <w:tcPr>
            <w:tcW w:w="3238" w:type="dxa"/>
          </w:tcPr>
          <w:p w14:paraId="622C6B9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5D293FA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пруга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станице</w:t>
            </w:r>
            <w:proofErr w:type="spellEnd"/>
          </w:p>
        </w:tc>
        <w:tc>
          <w:tcPr>
            <w:tcW w:w="3250" w:type="dxa"/>
          </w:tcPr>
          <w:p w14:paraId="127BA67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06E204A9" w14:textId="77777777" w:rsidTr="00010B8E">
        <w:tc>
          <w:tcPr>
            <w:tcW w:w="3238" w:type="dxa"/>
          </w:tcPr>
          <w:p w14:paraId="7D9D8A5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1FD20E7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угао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Новосадске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И.Л.Рибара</w:t>
            </w:r>
            <w:proofErr w:type="spellEnd"/>
          </w:p>
        </w:tc>
        <w:tc>
          <w:tcPr>
            <w:tcW w:w="3250" w:type="dxa"/>
          </w:tcPr>
          <w:p w14:paraId="5881CEA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19612B1" w14:textId="77777777" w:rsidTr="00010B8E">
        <w:tc>
          <w:tcPr>
            <w:tcW w:w="3238" w:type="dxa"/>
          </w:tcPr>
          <w:p w14:paraId="27D98403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5EAA3EE7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угао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Цара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Лазара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и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Дрварске</w:t>
            </w:r>
            <w:proofErr w:type="spellEnd"/>
          </w:p>
        </w:tc>
        <w:tc>
          <w:tcPr>
            <w:tcW w:w="3250" w:type="dxa"/>
          </w:tcPr>
          <w:p w14:paraId="443C1FA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27AA7B52" w14:textId="77777777" w:rsidTr="00010B8E">
        <w:tc>
          <w:tcPr>
            <w:tcW w:w="3238" w:type="dxa"/>
          </w:tcPr>
          <w:p w14:paraId="0557FAC7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1B3C5C0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r w:rsidRPr="008E1F07">
              <w:rPr>
                <w:rFonts w:eastAsia="Times New Roman" w:cs="Times New Roman"/>
                <w:color w:val="000000"/>
              </w:rPr>
              <w:t xml:space="preserve">ЗП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игралишта</w:t>
            </w:r>
            <w:proofErr w:type="spellEnd"/>
          </w:p>
        </w:tc>
        <w:tc>
          <w:tcPr>
            <w:tcW w:w="3250" w:type="dxa"/>
          </w:tcPr>
          <w:p w14:paraId="75A3CAD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F9813C4" w14:textId="77777777" w:rsidTr="00010B8E">
        <w:tc>
          <w:tcPr>
            <w:tcW w:w="3238" w:type="dxa"/>
          </w:tcPr>
          <w:p w14:paraId="5249B62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70DDED4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1</w:t>
            </w:r>
          </w:p>
        </w:tc>
        <w:tc>
          <w:tcPr>
            <w:tcW w:w="3250" w:type="dxa"/>
          </w:tcPr>
          <w:p w14:paraId="0CE59BD6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16DA4C35" w14:textId="77777777" w:rsidTr="00010B8E">
        <w:tc>
          <w:tcPr>
            <w:tcW w:w="3238" w:type="dxa"/>
          </w:tcPr>
          <w:p w14:paraId="683B3ACA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434B498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2</w:t>
            </w:r>
          </w:p>
        </w:tc>
        <w:tc>
          <w:tcPr>
            <w:tcW w:w="3250" w:type="dxa"/>
          </w:tcPr>
          <w:p w14:paraId="3A4F7F7A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1B0958DC" w14:textId="77777777" w:rsidTr="00010B8E">
        <w:tc>
          <w:tcPr>
            <w:tcW w:w="3238" w:type="dxa"/>
          </w:tcPr>
          <w:p w14:paraId="4FAA3B6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50B600C9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3</w:t>
            </w:r>
          </w:p>
        </w:tc>
        <w:tc>
          <w:tcPr>
            <w:tcW w:w="3250" w:type="dxa"/>
          </w:tcPr>
          <w:p w14:paraId="7149107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6F548C68" w14:textId="77777777" w:rsidTr="00010B8E">
        <w:tc>
          <w:tcPr>
            <w:tcW w:w="3238" w:type="dxa"/>
          </w:tcPr>
          <w:p w14:paraId="50A2A93E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0B4387A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4</w:t>
            </w:r>
          </w:p>
        </w:tc>
        <w:tc>
          <w:tcPr>
            <w:tcW w:w="3250" w:type="dxa"/>
          </w:tcPr>
          <w:p w14:paraId="38B7696F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DC128AA" w14:textId="77777777" w:rsidTr="00010B8E">
        <w:tc>
          <w:tcPr>
            <w:tcW w:w="3238" w:type="dxa"/>
          </w:tcPr>
          <w:p w14:paraId="199B5DC1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7868853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5</w:t>
            </w:r>
          </w:p>
        </w:tc>
        <w:tc>
          <w:tcPr>
            <w:tcW w:w="3250" w:type="dxa"/>
          </w:tcPr>
          <w:p w14:paraId="5CCB4920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2F95DA5" w14:textId="77777777" w:rsidTr="00010B8E">
        <w:tc>
          <w:tcPr>
            <w:tcW w:w="3238" w:type="dxa"/>
          </w:tcPr>
          <w:p w14:paraId="7641EC01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5A07D215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6</w:t>
            </w:r>
          </w:p>
        </w:tc>
        <w:tc>
          <w:tcPr>
            <w:tcW w:w="3250" w:type="dxa"/>
          </w:tcPr>
          <w:p w14:paraId="791342DF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177323A1" w14:textId="77777777" w:rsidTr="00010B8E">
        <w:tc>
          <w:tcPr>
            <w:tcW w:w="3238" w:type="dxa"/>
          </w:tcPr>
          <w:p w14:paraId="638A6DDD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50A598EB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7</w:t>
            </w:r>
          </w:p>
        </w:tc>
        <w:tc>
          <w:tcPr>
            <w:tcW w:w="3250" w:type="dxa"/>
          </w:tcPr>
          <w:p w14:paraId="7BE83CD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B4294B5" w14:textId="77777777" w:rsidTr="00010B8E">
        <w:tc>
          <w:tcPr>
            <w:tcW w:w="3238" w:type="dxa"/>
          </w:tcPr>
          <w:p w14:paraId="372AA663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Бачки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Јарак</w:t>
            </w:r>
            <w:proofErr w:type="spellEnd"/>
          </w:p>
        </w:tc>
        <w:tc>
          <w:tcPr>
            <w:tcW w:w="3237" w:type="dxa"/>
          </w:tcPr>
          <w:p w14:paraId="7A3E0811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Атарски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пут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8,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код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депоније</w:t>
            </w:r>
            <w:proofErr w:type="spellEnd"/>
          </w:p>
        </w:tc>
        <w:tc>
          <w:tcPr>
            <w:tcW w:w="3250" w:type="dxa"/>
          </w:tcPr>
          <w:p w14:paraId="38C867CA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3F66B1AD" w14:textId="77777777" w:rsidTr="00010B8E">
        <w:tc>
          <w:tcPr>
            <w:tcW w:w="3238" w:type="dxa"/>
          </w:tcPr>
          <w:p w14:paraId="444FEC46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Сириг</w:t>
            </w:r>
            <w:proofErr w:type="spellEnd"/>
          </w:p>
        </w:tc>
        <w:tc>
          <w:tcPr>
            <w:tcW w:w="3237" w:type="dxa"/>
          </w:tcPr>
          <w:p w14:paraId="49281178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Поред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канала</w:t>
            </w:r>
            <w:proofErr w:type="spellEnd"/>
          </w:p>
        </w:tc>
        <w:tc>
          <w:tcPr>
            <w:tcW w:w="3250" w:type="dxa"/>
          </w:tcPr>
          <w:p w14:paraId="213312D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54BF647" w14:textId="77777777" w:rsidTr="00010B8E">
        <w:tc>
          <w:tcPr>
            <w:tcW w:w="3238" w:type="dxa"/>
          </w:tcPr>
          <w:p w14:paraId="61BAFF14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Сириг</w:t>
            </w:r>
            <w:proofErr w:type="spellEnd"/>
          </w:p>
        </w:tc>
        <w:tc>
          <w:tcPr>
            <w:tcW w:w="3237" w:type="dxa"/>
          </w:tcPr>
          <w:p w14:paraId="5DD89C2C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Око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споменка</w:t>
            </w:r>
            <w:proofErr w:type="spellEnd"/>
          </w:p>
        </w:tc>
        <w:tc>
          <w:tcPr>
            <w:tcW w:w="3250" w:type="dxa"/>
          </w:tcPr>
          <w:p w14:paraId="59EC3221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7F8558FD" w14:textId="77777777" w:rsidTr="00010B8E">
        <w:tc>
          <w:tcPr>
            <w:tcW w:w="3238" w:type="dxa"/>
          </w:tcPr>
          <w:p w14:paraId="5E33D6E9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Сириг</w:t>
            </w:r>
            <w:proofErr w:type="spellEnd"/>
          </w:p>
        </w:tc>
        <w:tc>
          <w:tcPr>
            <w:tcW w:w="3237" w:type="dxa"/>
          </w:tcPr>
          <w:p w14:paraId="05C88FAD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Атарски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пут</w:t>
            </w:r>
            <w:proofErr w:type="spellEnd"/>
          </w:p>
        </w:tc>
        <w:tc>
          <w:tcPr>
            <w:tcW w:w="3250" w:type="dxa"/>
          </w:tcPr>
          <w:p w14:paraId="7A3C89F4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  <w:tr w:rsidR="00BD6C84" w:rsidRPr="008E1F07" w14:paraId="50AF5BA2" w14:textId="77777777" w:rsidTr="00010B8E">
        <w:tc>
          <w:tcPr>
            <w:tcW w:w="3238" w:type="dxa"/>
          </w:tcPr>
          <w:p w14:paraId="39B3CBC9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Сириг</w:t>
            </w:r>
            <w:proofErr w:type="spellEnd"/>
          </w:p>
        </w:tc>
        <w:tc>
          <w:tcPr>
            <w:tcW w:w="3237" w:type="dxa"/>
          </w:tcPr>
          <w:p w14:paraId="419DAAD2" w14:textId="77777777" w:rsidR="00BD6C84" w:rsidRPr="008E1F07" w:rsidRDefault="00BD6C84" w:rsidP="00010B8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Aтарски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пут</w:t>
            </w:r>
            <w:proofErr w:type="spellEnd"/>
          </w:p>
        </w:tc>
        <w:tc>
          <w:tcPr>
            <w:tcW w:w="3250" w:type="dxa"/>
          </w:tcPr>
          <w:p w14:paraId="58AF1B18" w14:textId="77777777" w:rsidR="00BD6C84" w:rsidRPr="008E1F07" w:rsidRDefault="00BD6C84" w:rsidP="00010B8E">
            <w:pPr>
              <w:pStyle w:val="Standard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E1F07">
              <w:rPr>
                <w:rFonts w:eastAsia="Times New Roman" w:cs="Times New Roman"/>
                <w:color w:val="000000"/>
              </w:rPr>
              <w:t>Механичко</w:t>
            </w:r>
            <w:proofErr w:type="spellEnd"/>
            <w:r w:rsidRPr="008E1F07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8E1F07">
              <w:rPr>
                <w:rFonts w:eastAsia="Times New Roman" w:cs="Times New Roman"/>
                <w:color w:val="000000"/>
              </w:rPr>
              <w:t>кошење</w:t>
            </w:r>
            <w:proofErr w:type="spellEnd"/>
          </w:p>
        </w:tc>
      </w:tr>
    </w:tbl>
    <w:p w14:paraId="725B2F9D" w14:textId="77777777" w:rsidR="00BD6C84" w:rsidRPr="008E1F07" w:rsidRDefault="00BD6C84" w:rsidP="00BD6C84">
      <w:pPr>
        <w:pStyle w:val="Standard"/>
        <w:jc w:val="center"/>
        <w:rPr>
          <w:rFonts w:cs="Times New Roman"/>
        </w:rPr>
      </w:pPr>
    </w:p>
    <w:p w14:paraId="2F3E8B1A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0D6B4209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66D101B9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7B3C07B8" w14:textId="77777777" w:rsidR="00BD6C84" w:rsidRPr="008E1F07" w:rsidRDefault="00BD6C84" w:rsidP="00BD6C84">
      <w:pPr>
        <w:pStyle w:val="Standard"/>
        <w:jc w:val="both"/>
        <w:rPr>
          <w:rFonts w:cs="Times New Roman"/>
          <w:lang w:val="sr-Cyrl-RS"/>
        </w:rPr>
      </w:pPr>
    </w:p>
    <w:p w14:paraId="4901252A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4BFB97E5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  <w:proofErr w:type="spellStart"/>
      <w:r w:rsidRPr="008E1F07">
        <w:rPr>
          <w:rFonts w:cs="Times New Roman"/>
        </w:rPr>
        <w:t>Потенциалне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локације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за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хемијски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тертман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је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дефинисан</w:t>
      </w:r>
      <w:proofErr w:type="spellEnd"/>
      <w:r w:rsidRPr="008E1F07">
        <w:rPr>
          <w:rFonts w:cs="Times New Roman"/>
        </w:rPr>
        <w:t xml:space="preserve"> у </w:t>
      </w:r>
      <w:proofErr w:type="spellStart"/>
      <w:r w:rsidRPr="008E1F07">
        <w:rPr>
          <w:rFonts w:cs="Times New Roman"/>
        </w:rPr>
        <w:t>Табелу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број</w:t>
      </w:r>
      <w:proofErr w:type="spellEnd"/>
      <w:r w:rsidRPr="008E1F07">
        <w:rPr>
          <w:rFonts w:cs="Times New Roman"/>
        </w:rPr>
        <w:t xml:space="preserve"> 2.</w:t>
      </w:r>
    </w:p>
    <w:p w14:paraId="0DFF0BA7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BD6C84" w:rsidRPr="008E1F07" w14:paraId="1F148BE8" w14:textId="77777777" w:rsidTr="00010B8E">
        <w:tc>
          <w:tcPr>
            <w:tcW w:w="3213" w:type="dxa"/>
          </w:tcPr>
          <w:p w14:paraId="0C6EC8E2" w14:textId="77777777" w:rsidR="00BD6C84" w:rsidRPr="008E1F07" w:rsidRDefault="00BD6C84" w:rsidP="00010B8E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Бачки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Јарак</w:t>
            </w:r>
            <w:proofErr w:type="spellEnd"/>
          </w:p>
        </w:tc>
        <w:tc>
          <w:tcPr>
            <w:tcW w:w="3213" w:type="dxa"/>
          </w:tcPr>
          <w:p w14:paraId="111D36F5" w14:textId="77777777" w:rsidR="00BD6C84" w:rsidRPr="008E1F07" w:rsidRDefault="00BD6C84" w:rsidP="00010B8E">
            <w:pPr>
              <w:pStyle w:val="Standard"/>
              <w:jc w:val="both"/>
              <w:rPr>
                <w:rFonts w:cs="Times New Roman"/>
              </w:rPr>
            </w:pPr>
            <w:r w:rsidRPr="008E1F07">
              <w:rPr>
                <w:rFonts w:cs="Times New Roman"/>
              </w:rPr>
              <w:t xml:space="preserve">ЗП </w:t>
            </w:r>
            <w:proofErr w:type="spellStart"/>
            <w:r w:rsidRPr="008E1F07">
              <w:rPr>
                <w:rFonts w:cs="Times New Roman"/>
              </w:rPr>
              <w:t>иза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парка</w:t>
            </w:r>
            <w:proofErr w:type="spellEnd"/>
            <w:r w:rsidRPr="008E1F07">
              <w:rPr>
                <w:rFonts w:cs="Times New Roman"/>
              </w:rPr>
              <w:t xml:space="preserve"> П.</w:t>
            </w:r>
          </w:p>
        </w:tc>
        <w:tc>
          <w:tcPr>
            <w:tcW w:w="3213" w:type="dxa"/>
          </w:tcPr>
          <w:p w14:paraId="28D218F7" w14:textId="77777777" w:rsidR="00BD6C84" w:rsidRPr="008E1F07" w:rsidRDefault="00BD6C84" w:rsidP="00010B8E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  <w:tr w:rsidR="00BD6C84" w:rsidRPr="008E1F07" w14:paraId="1C83A24C" w14:textId="77777777" w:rsidTr="00010B8E">
        <w:tc>
          <w:tcPr>
            <w:tcW w:w="3213" w:type="dxa"/>
          </w:tcPr>
          <w:p w14:paraId="72480464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Бачки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Јарак</w:t>
            </w:r>
            <w:proofErr w:type="spellEnd"/>
          </w:p>
        </w:tc>
        <w:tc>
          <w:tcPr>
            <w:tcW w:w="3213" w:type="dxa"/>
          </w:tcPr>
          <w:p w14:paraId="4FDD6A9C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r w:rsidRPr="008E1F07">
              <w:rPr>
                <w:rFonts w:cs="Times New Roman"/>
              </w:rPr>
              <w:t xml:space="preserve">ЗП </w:t>
            </w:r>
            <w:proofErr w:type="spellStart"/>
            <w:r w:rsidRPr="008E1F07">
              <w:rPr>
                <w:rFonts w:cs="Times New Roman"/>
              </w:rPr>
              <w:t>код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канала</w:t>
            </w:r>
            <w:proofErr w:type="spellEnd"/>
          </w:p>
        </w:tc>
        <w:tc>
          <w:tcPr>
            <w:tcW w:w="3213" w:type="dxa"/>
          </w:tcPr>
          <w:p w14:paraId="7C4FCD4B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  <w:tr w:rsidR="00BD6C84" w:rsidRPr="008E1F07" w14:paraId="45BAE558" w14:textId="77777777" w:rsidTr="00010B8E">
        <w:tc>
          <w:tcPr>
            <w:tcW w:w="3213" w:type="dxa"/>
          </w:tcPr>
          <w:p w14:paraId="00F5EE64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Бачки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Јарак</w:t>
            </w:r>
            <w:proofErr w:type="spellEnd"/>
          </w:p>
        </w:tc>
        <w:tc>
          <w:tcPr>
            <w:tcW w:w="3213" w:type="dxa"/>
          </w:tcPr>
          <w:p w14:paraId="75C72F51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r w:rsidRPr="008E1F07">
              <w:rPr>
                <w:rFonts w:cs="Times New Roman"/>
              </w:rPr>
              <w:t xml:space="preserve">ЗП </w:t>
            </w:r>
            <w:proofErr w:type="spellStart"/>
            <w:r w:rsidRPr="008E1F07">
              <w:rPr>
                <w:rFonts w:cs="Times New Roman"/>
              </w:rPr>
              <w:t>депонија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код</w:t>
            </w:r>
            <w:proofErr w:type="spellEnd"/>
            <w:r w:rsidRPr="008E1F07">
              <w:rPr>
                <w:rFonts w:cs="Times New Roman"/>
              </w:rPr>
              <w:t xml:space="preserve"> ДТД</w:t>
            </w:r>
          </w:p>
        </w:tc>
        <w:tc>
          <w:tcPr>
            <w:tcW w:w="3213" w:type="dxa"/>
          </w:tcPr>
          <w:p w14:paraId="756F3115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  <w:tr w:rsidR="00BD6C84" w:rsidRPr="008E1F07" w14:paraId="5CFD2360" w14:textId="77777777" w:rsidTr="00010B8E">
        <w:tc>
          <w:tcPr>
            <w:tcW w:w="3213" w:type="dxa"/>
          </w:tcPr>
          <w:p w14:paraId="2DFD3E68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Темерин</w:t>
            </w:r>
            <w:proofErr w:type="spellEnd"/>
          </w:p>
        </w:tc>
        <w:tc>
          <w:tcPr>
            <w:tcW w:w="3213" w:type="dxa"/>
          </w:tcPr>
          <w:p w14:paraId="674FE2A9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r w:rsidRPr="008E1F07">
              <w:rPr>
                <w:rFonts w:cs="Times New Roman"/>
              </w:rPr>
              <w:t xml:space="preserve">ЗП </w:t>
            </w:r>
            <w:proofErr w:type="spellStart"/>
            <w:r w:rsidRPr="008E1F07">
              <w:rPr>
                <w:rFonts w:cs="Times New Roman"/>
              </w:rPr>
              <w:t>поред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центра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за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пољоп</w:t>
            </w:r>
            <w:proofErr w:type="spellEnd"/>
            <w:r w:rsidRPr="008E1F07">
              <w:rPr>
                <w:rFonts w:cs="Times New Roman"/>
              </w:rPr>
              <w:t>.</w:t>
            </w:r>
          </w:p>
        </w:tc>
        <w:tc>
          <w:tcPr>
            <w:tcW w:w="3213" w:type="dxa"/>
          </w:tcPr>
          <w:p w14:paraId="7EB76726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  <w:tr w:rsidR="00BD6C84" w:rsidRPr="008E1F07" w14:paraId="66520D70" w14:textId="77777777" w:rsidTr="00010B8E">
        <w:tc>
          <w:tcPr>
            <w:tcW w:w="3213" w:type="dxa"/>
          </w:tcPr>
          <w:p w14:paraId="7642FC67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Темерин</w:t>
            </w:r>
            <w:proofErr w:type="spellEnd"/>
          </w:p>
        </w:tc>
        <w:tc>
          <w:tcPr>
            <w:tcW w:w="3213" w:type="dxa"/>
          </w:tcPr>
          <w:p w14:paraId="02D9F628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r w:rsidRPr="008E1F07">
              <w:rPr>
                <w:rFonts w:cs="Times New Roman"/>
              </w:rPr>
              <w:t xml:space="preserve">ЗП </w:t>
            </w:r>
            <w:proofErr w:type="spellStart"/>
            <w:r w:rsidRPr="008E1F07">
              <w:rPr>
                <w:rFonts w:cs="Times New Roman"/>
              </w:rPr>
              <w:t>код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Тим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копа</w:t>
            </w:r>
            <w:proofErr w:type="spellEnd"/>
          </w:p>
        </w:tc>
        <w:tc>
          <w:tcPr>
            <w:tcW w:w="3213" w:type="dxa"/>
          </w:tcPr>
          <w:p w14:paraId="7EC4FE05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  <w:tr w:rsidR="00BD6C84" w:rsidRPr="008E1F07" w14:paraId="6CDB03D6" w14:textId="77777777" w:rsidTr="00010B8E">
        <w:tc>
          <w:tcPr>
            <w:tcW w:w="3213" w:type="dxa"/>
          </w:tcPr>
          <w:p w14:paraId="74DA69C3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Темерин</w:t>
            </w:r>
            <w:proofErr w:type="spellEnd"/>
          </w:p>
        </w:tc>
        <w:tc>
          <w:tcPr>
            <w:tcW w:w="3213" w:type="dxa"/>
          </w:tcPr>
          <w:p w14:paraId="7A184324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Код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Иланџе</w:t>
            </w:r>
            <w:proofErr w:type="spellEnd"/>
          </w:p>
        </w:tc>
        <w:tc>
          <w:tcPr>
            <w:tcW w:w="3213" w:type="dxa"/>
          </w:tcPr>
          <w:p w14:paraId="0FD4AC19" w14:textId="77777777" w:rsidR="00BD6C84" w:rsidRPr="008E1F07" w:rsidRDefault="00BD6C84" w:rsidP="00010B8E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8E1F07">
              <w:rPr>
                <w:rFonts w:cs="Times New Roman"/>
              </w:rPr>
              <w:t>Хемијски</w:t>
            </w:r>
            <w:proofErr w:type="spellEnd"/>
            <w:r w:rsidRPr="008E1F07">
              <w:rPr>
                <w:rFonts w:cs="Times New Roman"/>
              </w:rPr>
              <w:t xml:space="preserve"> </w:t>
            </w:r>
            <w:proofErr w:type="spellStart"/>
            <w:r w:rsidRPr="008E1F07">
              <w:rPr>
                <w:rFonts w:cs="Times New Roman"/>
              </w:rPr>
              <w:t>третман</w:t>
            </w:r>
            <w:proofErr w:type="spellEnd"/>
          </w:p>
        </w:tc>
      </w:tr>
    </w:tbl>
    <w:p w14:paraId="292F10E5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0DA7E741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7D5F55B7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4D685B05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  <w:proofErr w:type="spellStart"/>
      <w:r w:rsidRPr="008E1F07">
        <w:rPr>
          <w:rFonts w:cs="Times New Roman"/>
        </w:rPr>
        <w:t>Такође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обавеза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је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власника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корисника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површина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пољопривредног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земљишта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грађевинског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земљишта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као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запуштених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површина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поред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путева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стаза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утрина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парлога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деградираних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пашњака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запуштених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паркова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да</w:t>
      </w:r>
      <w:proofErr w:type="spellEnd"/>
      <w:r w:rsidRPr="008E1F07">
        <w:rPr>
          <w:rFonts w:cs="Times New Roman"/>
        </w:rPr>
        <w:t xml:space="preserve"> у </w:t>
      </w:r>
      <w:proofErr w:type="spellStart"/>
      <w:r w:rsidRPr="008E1F07">
        <w:rPr>
          <w:rFonts w:cs="Times New Roman"/>
        </w:rPr>
        <w:t>току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вегетационе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сезоне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до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почетка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фенолошке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фазе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цветања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на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наведеним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површинама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сузбијају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уништавају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амброзију</w:t>
      </w:r>
      <w:proofErr w:type="spellEnd"/>
      <w:r w:rsidRPr="008E1F07">
        <w:rPr>
          <w:rFonts w:cs="Times New Roman"/>
        </w:rPr>
        <w:t>.</w:t>
      </w:r>
    </w:p>
    <w:p w14:paraId="3778AD4D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2B9D3EB0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  <w:proofErr w:type="spellStart"/>
      <w:r w:rsidRPr="008E1F07">
        <w:rPr>
          <w:rFonts w:cs="Times New Roman"/>
        </w:rPr>
        <w:lastRenderedPageBreak/>
        <w:t>Обавезу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спровођења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наведених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мера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имају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субјекти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који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управљају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водотоковима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каналима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површинама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уз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водотокове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канале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као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субјекти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који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одржавају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површине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уз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јавне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путеве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жечезничке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пруге</w:t>
      </w:r>
      <w:proofErr w:type="spellEnd"/>
      <w:r w:rsidRPr="008E1F07">
        <w:rPr>
          <w:rFonts w:cs="Times New Roman"/>
        </w:rPr>
        <w:t>.</w:t>
      </w:r>
    </w:p>
    <w:p w14:paraId="4A7AA600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5E3F3374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  <w:r w:rsidRPr="008E1F07">
        <w:rPr>
          <w:rFonts w:cs="Times New Roman"/>
        </w:rPr>
        <w:t xml:space="preserve">У </w:t>
      </w:r>
      <w:proofErr w:type="spellStart"/>
      <w:r w:rsidRPr="008E1F07">
        <w:rPr>
          <w:rFonts w:cs="Times New Roman"/>
        </w:rPr>
        <w:t>току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спровођења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Програма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неопходна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је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координација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активности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надлежним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инспекцијским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службама</w:t>
      </w:r>
      <w:proofErr w:type="spellEnd"/>
      <w:r w:rsidRPr="008E1F07">
        <w:rPr>
          <w:rFonts w:cs="Times New Roman"/>
        </w:rPr>
        <w:t xml:space="preserve">. </w:t>
      </w:r>
      <w:proofErr w:type="spellStart"/>
      <w:r w:rsidRPr="008E1F07">
        <w:rPr>
          <w:rFonts w:cs="Times New Roman"/>
        </w:rPr>
        <w:t>Представницима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локалне</w:t>
      </w:r>
      <w:proofErr w:type="spellEnd"/>
      <w:r w:rsidRPr="008E1F07">
        <w:rPr>
          <w:rFonts w:cs="Times New Roman"/>
        </w:rPr>
        <w:t xml:space="preserve"> </w:t>
      </w:r>
      <w:proofErr w:type="spellStart"/>
      <w:proofErr w:type="gramStart"/>
      <w:r w:rsidRPr="008E1F07">
        <w:rPr>
          <w:rFonts w:cs="Times New Roman"/>
        </w:rPr>
        <w:t>самоуправе</w:t>
      </w:r>
      <w:proofErr w:type="spellEnd"/>
      <w:r w:rsidRPr="008E1F07">
        <w:rPr>
          <w:rFonts w:cs="Times New Roman"/>
        </w:rPr>
        <w:t xml:space="preserve">  и</w:t>
      </w:r>
      <w:proofErr w:type="gram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другим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надлежним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субјектима</w:t>
      </w:r>
      <w:proofErr w:type="spellEnd"/>
      <w:r w:rsidRPr="008E1F07">
        <w:rPr>
          <w:rFonts w:cs="Times New Roman"/>
        </w:rPr>
        <w:t xml:space="preserve">, у </w:t>
      </w:r>
      <w:proofErr w:type="spellStart"/>
      <w:r w:rsidRPr="008E1F07">
        <w:rPr>
          <w:rFonts w:cs="Times New Roman"/>
        </w:rPr>
        <w:t>циљу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утврђивања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присутности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амброзије</w:t>
      </w:r>
      <w:proofErr w:type="spellEnd"/>
      <w:r w:rsidRPr="008E1F07">
        <w:rPr>
          <w:rFonts w:cs="Times New Roman"/>
        </w:rPr>
        <w:t xml:space="preserve">, </w:t>
      </w:r>
      <w:proofErr w:type="spellStart"/>
      <w:r w:rsidRPr="008E1F07">
        <w:rPr>
          <w:rFonts w:cs="Times New Roman"/>
        </w:rPr>
        <w:t>предузимања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адекватних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мера</w:t>
      </w:r>
      <w:proofErr w:type="spellEnd"/>
      <w:r w:rsidRPr="008E1F07">
        <w:rPr>
          <w:rFonts w:cs="Times New Roman"/>
        </w:rPr>
        <w:t xml:space="preserve"> у </w:t>
      </w:r>
      <w:proofErr w:type="spellStart"/>
      <w:r w:rsidRPr="008E1F07">
        <w:rPr>
          <w:rFonts w:cs="Times New Roman"/>
        </w:rPr>
        <w:t>границама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законским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подзаконским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актима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утврђених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недлежности</w:t>
      </w:r>
      <w:proofErr w:type="spellEnd"/>
      <w:r w:rsidRPr="008E1F07">
        <w:rPr>
          <w:rFonts w:cs="Times New Roman"/>
        </w:rPr>
        <w:t xml:space="preserve"> и </w:t>
      </w:r>
      <w:proofErr w:type="spellStart"/>
      <w:r w:rsidRPr="008E1F07">
        <w:rPr>
          <w:rFonts w:cs="Times New Roman"/>
        </w:rPr>
        <w:t>постизања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што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бољи</w:t>
      </w:r>
      <w:proofErr w:type="spellEnd"/>
      <w:r w:rsidRPr="008E1F07">
        <w:rPr>
          <w:rFonts w:cs="Times New Roman"/>
        </w:rPr>
        <w:t xml:space="preserve"> </w:t>
      </w:r>
      <w:proofErr w:type="spellStart"/>
      <w:r w:rsidRPr="008E1F07">
        <w:rPr>
          <w:rFonts w:cs="Times New Roman"/>
        </w:rPr>
        <w:t>ефеката</w:t>
      </w:r>
      <w:proofErr w:type="spellEnd"/>
      <w:r w:rsidRPr="008E1F07">
        <w:rPr>
          <w:rFonts w:cs="Times New Roman"/>
        </w:rPr>
        <w:t>.</w:t>
      </w:r>
    </w:p>
    <w:p w14:paraId="39A5C0BC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26DFACBD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6DF28A3A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0CADBC6C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</w:p>
    <w:p w14:paraId="00223DB3" w14:textId="77777777" w:rsidR="00BD6C84" w:rsidRPr="008E1F07" w:rsidRDefault="00BD6C84" w:rsidP="00BD6C84">
      <w:pPr>
        <w:pStyle w:val="Standard"/>
        <w:jc w:val="both"/>
        <w:rPr>
          <w:rFonts w:cs="Times New Roman"/>
        </w:rPr>
      </w:pPr>
      <w:r w:rsidRPr="008E1F07">
        <w:rPr>
          <w:rFonts w:cs="Times New Roman"/>
        </w:rPr>
        <w:t xml:space="preserve"> </w:t>
      </w:r>
    </w:p>
    <w:p w14:paraId="3CA5B3ED" w14:textId="77777777" w:rsidR="00BD6C84" w:rsidRPr="008E1F07" w:rsidRDefault="00BD6C84" w:rsidP="00BD6C84">
      <w:pPr>
        <w:pStyle w:val="Standard"/>
        <w:rPr>
          <w:rFonts w:cs="Times New Roman"/>
          <w:lang w:val="sr-Cyrl-RS"/>
        </w:rPr>
      </w:pPr>
      <w:r w:rsidRPr="008E1F07">
        <w:rPr>
          <w:rFonts w:cs="Times New Roman"/>
          <w:lang w:val="sr-Cyrl-RS"/>
        </w:rPr>
        <w:t xml:space="preserve"> </w:t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  <w:t xml:space="preserve"> ПРЕДСЕДНИК ОПШТИНЕ                                                                     </w:t>
      </w:r>
    </w:p>
    <w:p w14:paraId="3BF451E8" w14:textId="77777777" w:rsidR="00BD6C84" w:rsidRPr="008E1F07" w:rsidRDefault="00BD6C84" w:rsidP="00BD6C84">
      <w:pPr>
        <w:pStyle w:val="Standard"/>
        <w:spacing w:after="120"/>
        <w:rPr>
          <w:rFonts w:cs="Times New Roman"/>
          <w:lang w:val="sr-Cyrl-RS"/>
        </w:rPr>
      </w:pPr>
      <w:r w:rsidRPr="008E1F07">
        <w:rPr>
          <w:rFonts w:cs="Times New Roman"/>
          <w:lang w:val="sr-Cyrl-RS"/>
        </w:rPr>
        <w:t xml:space="preserve">                                                                                          </w:t>
      </w:r>
      <w:r w:rsidRPr="008E1F07">
        <w:rPr>
          <w:rFonts w:cs="Times New Roman"/>
          <w:lang w:val="sr-Cyrl-RS"/>
        </w:rPr>
        <w:tab/>
      </w:r>
      <w:r w:rsidRPr="008E1F07">
        <w:rPr>
          <w:rFonts w:cs="Times New Roman"/>
          <w:lang w:val="sr-Cyrl-RS"/>
        </w:rPr>
        <w:tab/>
        <w:t xml:space="preserve"> Младен Зец</w:t>
      </w:r>
    </w:p>
    <w:p w14:paraId="26F70C19" w14:textId="77777777" w:rsidR="00BD6C84" w:rsidRPr="008E1F07" w:rsidRDefault="00BD6C84" w:rsidP="00BD6C84">
      <w:pPr>
        <w:pStyle w:val="Standard"/>
        <w:spacing w:after="120"/>
        <w:rPr>
          <w:rFonts w:cs="Times New Roman"/>
        </w:rPr>
      </w:pPr>
    </w:p>
    <w:p w14:paraId="6E97D440" w14:textId="77777777" w:rsidR="00BD6C84" w:rsidRPr="008E1F07" w:rsidRDefault="00BD6C84" w:rsidP="00BD6C84">
      <w:pPr>
        <w:pStyle w:val="Standard"/>
        <w:spacing w:after="120"/>
        <w:rPr>
          <w:rFonts w:cs="Times New Roman"/>
          <w:lang w:val="sr-Cyrl-RS"/>
        </w:rPr>
      </w:pPr>
    </w:p>
    <w:p w14:paraId="51416B38" w14:textId="77777777" w:rsidR="00BA15A6" w:rsidRDefault="00BA15A6"/>
    <w:sectPr w:rsidR="00BA1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4"/>
    <w:rsid w:val="001A71EC"/>
    <w:rsid w:val="003528CA"/>
    <w:rsid w:val="00BA15A6"/>
    <w:rsid w:val="00BD6C84"/>
    <w:rsid w:val="00C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FFE6"/>
  <w15:chartTrackingRefBased/>
  <w15:docId w15:val="{73F76DCA-7BFB-4E55-BD71-730B05A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84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C8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8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8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8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8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84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84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84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84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8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84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84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6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84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6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8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D6C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Normal"/>
    <w:rsid w:val="00BD6C84"/>
    <w:pPr>
      <w:widowControl w:val="0"/>
      <w:suppressLineNumbers/>
      <w:spacing w:after="0" w:line="240" w:lineRule="auto"/>
    </w:pPr>
    <w:rPr>
      <w:rFonts w:ascii="Times New Roma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5354</Characters>
  <Application>Microsoft Office Word</Application>
  <DocSecurity>0</DocSecurity>
  <Lines>243</Lines>
  <Paragraphs>136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2025-11-20T12:13:00Z</dcterms:created>
  <dcterms:modified xsi:type="dcterms:W3CDTF">2025-11-20T12:14:00Z</dcterms:modified>
</cp:coreProperties>
</file>